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0C23" w14:textId="7E9D9E22" w:rsidR="00CF7B23" w:rsidRDefault="00FB0C95">
      <w:pPr>
        <w:pStyle w:val="BodyText"/>
        <w:ind w:left="405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75D5186" wp14:editId="720D2DA9">
            <wp:extent cx="2205990" cy="59522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79" cy="6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8A49" w14:textId="2F7CA8E1" w:rsidR="00CF7B23" w:rsidRDefault="00CF7B23">
      <w:pPr>
        <w:pStyle w:val="BodyText"/>
        <w:spacing w:before="2"/>
        <w:rPr>
          <w:rFonts w:ascii="Times New Roman"/>
          <w:sz w:val="23"/>
        </w:rPr>
      </w:pPr>
    </w:p>
    <w:p w14:paraId="5C678A84" w14:textId="0B39CE6F" w:rsidR="00C33233" w:rsidRDefault="00C33233">
      <w:pPr>
        <w:pStyle w:val="BodyText"/>
        <w:spacing w:before="2"/>
        <w:rPr>
          <w:rFonts w:ascii="Times New Roman"/>
          <w:sz w:val="23"/>
        </w:rPr>
      </w:pPr>
    </w:p>
    <w:p w14:paraId="43B1420E" w14:textId="023FE2BD" w:rsidR="00C33233" w:rsidRDefault="00C33233">
      <w:pPr>
        <w:pStyle w:val="BodyText"/>
        <w:spacing w:before="2"/>
        <w:rPr>
          <w:rFonts w:ascii="Times New Roman"/>
          <w:sz w:val="23"/>
        </w:rPr>
      </w:pPr>
    </w:p>
    <w:p w14:paraId="67EA235B" w14:textId="77777777" w:rsidR="00C33233" w:rsidRDefault="00C33233">
      <w:pPr>
        <w:pStyle w:val="BodyText"/>
        <w:spacing w:before="2"/>
        <w:rPr>
          <w:rFonts w:ascii="Times New Roman"/>
          <w:sz w:val="23"/>
        </w:rPr>
      </w:pPr>
    </w:p>
    <w:p w14:paraId="0E80DAA9" w14:textId="586A09D2" w:rsidR="00CF7B23" w:rsidRDefault="00F762BB">
      <w:pPr>
        <w:pStyle w:val="BodyText"/>
        <w:spacing w:before="4" w:line="319" w:lineRule="auto"/>
        <w:ind w:left="122" w:right="139" w:firstLine="3"/>
        <w:jc w:val="both"/>
      </w:pPr>
      <w:r>
        <w:t xml:space="preserve">An annual exam or well check visit is a routine </w:t>
      </w:r>
      <w:r w:rsidR="00FB0C95">
        <w:t xml:space="preserve">check-up, </w:t>
      </w:r>
      <w:r>
        <w:t xml:space="preserve">which </w:t>
      </w:r>
      <w:r w:rsidR="00FB0C95">
        <w:t>includes obtaining</w:t>
      </w:r>
      <w:r>
        <w:t xml:space="preserve"> </w:t>
      </w:r>
      <w:r w:rsidR="00FB0C95">
        <w:t>a weight,</w:t>
      </w:r>
      <w:r>
        <w:t xml:space="preserve"> </w:t>
      </w:r>
      <w:r w:rsidR="00FB0C95">
        <w:t>height, blood</w:t>
      </w:r>
      <w:r>
        <w:t xml:space="preserve"> pressure check, vision </w:t>
      </w:r>
      <w:r w:rsidR="00FB0C95">
        <w:t xml:space="preserve">screening </w:t>
      </w:r>
      <w:r>
        <w:t xml:space="preserve">and exam by physician. Your provider may also order some </w:t>
      </w:r>
      <w:r w:rsidR="00FB0C95">
        <w:t>screening exams such</w:t>
      </w:r>
      <w:r>
        <w:t xml:space="preserve"> as </w:t>
      </w:r>
      <w:r w:rsidR="00FB0C95">
        <w:t>lead and hemoglobin,</w:t>
      </w:r>
      <w:r>
        <w:t xml:space="preserve"> hearing screen, or other studies as</w:t>
      </w:r>
      <w:r>
        <w:rPr>
          <w:spacing w:val="10"/>
        </w:rPr>
        <w:t xml:space="preserve"> </w:t>
      </w:r>
      <w:r>
        <w:t>indicated.</w:t>
      </w:r>
    </w:p>
    <w:p w14:paraId="00514D2E" w14:textId="77777777" w:rsidR="00CF7B23" w:rsidRDefault="00F762BB">
      <w:pPr>
        <w:pStyle w:val="BodyText"/>
        <w:spacing w:before="156" w:line="321" w:lineRule="auto"/>
        <w:ind w:left="124" w:right="270" w:firstLine="1"/>
      </w:pPr>
      <w:r>
        <w:rPr>
          <w:w w:val="105"/>
        </w:rPr>
        <w:t>A problem or "sick" visit focuses on discovering and evaluating problems. Examples could be congestion or cold symptoms, depression, anxiety or a skin condition such as acne.</w:t>
      </w:r>
    </w:p>
    <w:p w14:paraId="4A0A91A3" w14:textId="77777777" w:rsidR="00CF7B23" w:rsidRDefault="00F762BB">
      <w:pPr>
        <w:pStyle w:val="BodyText"/>
        <w:spacing w:before="159" w:line="316" w:lineRule="auto"/>
        <w:ind w:left="122" w:right="270" w:hanging="3"/>
      </w:pPr>
      <w:r>
        <w:rPr>
          <w:w w:val="105"/>
        </w:rPr>
        <w:t>Each of these visits has their own procedure code which is used to file claims with your insurance company. The insurance company determines their own reimbursement for physician services.</w:t>
      </w:r>
    </w:p>
    <w:p w14:paraId="1281EF57" w14:textId="405941E7" w:rsidR="00CF7B23" w:rsidRDefault="00F762BB">
      <w:pPr>
        <w:pStyle w:val="BodyText"/>
        <w:spacing w:before="163" w:line="319" w:lineRule="auto"/>
        <w:ind w:left="122" w:right="217" w:hanging="1"/>
      </w:pPr>
      <w:r>
        <w:rPr>
          <w:w w:val="105"/>
        </w:rPr>
        <w:t xml:space="preserve">Sometimes during a well </w:t>
      </w:r>
      <w:r w:rsidR="00FB0C95">
        <w:rPr>
          <w:w w:val="105"/>
        </w:rPr>
        <w:t>exam,</w:t>
      </w:r>
      <w:r>
        <w:rPr>
          <w:w w:val="105"/>
        </w:rPr>
        <w:t xml:space="preserve"> a problem is identified based upon a patient's present medical complaint, or when the physician discovers abnormalities during the visit </w:t>
      </w:r>
      <w:r w:rsidR="00FB0C95">
        <w:rPr>
          <w:w w:val="105"/>
        </w:rPr>
        <w:t>through the</w:t>
      </w:r>
      <w:r>
        <w:rPr>
          <w:w w:val="105"/>
        </w:rPr>
        <w:t xml:space="preserve"> exam or </w:t>
      </w:r>
      <w:r w:rsidR="00FB0C95">
        <w:rPr>
          <w:w w:val="105"/>
        </w:rPr>
        <w:t>review of</w:t>
      </w:r>
      <w:r>
        <w:rPr>
          <w:w w:val="105"/>
        </w:rPr>
        <w:t xml:space="preserve"> the </w:t>
      </w:r>
      <w:r w:rsidR="00FB0C95">
        <w:rPr>
          <w:w w:val="105"/>
        </w:rPr>
        <w:t>patient’s history</w:t>
      </w:r>
      <w:r>
        <w:rPr>
          <w:w w:val="105"/>
        </w:rPr>
        <w:t>. If this happens, the</w:t>
      </w:r>
      <w:r>
        <w:rPr>
          <w:spacing w:val="26"/>
          <w:w w:val="105"/>
        </w:rPr>
        <w:t xml:space="preserve"> </w:t>
      </w:r>
      <w:r>
        <w:rPr>
          <w:w w:val="105"/>
        </w:rPr>
        <w:t>physician</w:t>
      </w:r>
      <w:r>
        <w:rPr>
          <w:spacing w:val="12"/>
          <w:w w:val="105"/>
        </w:rPr>
        <w:t xml:space="preserve"> </w:t>
      </w:r>
      <w:r>
        <w:rPr>
          <w:w w:val="105"/>
        </w:rPr>
        <w:t>may</w:t>
      </w:r>
      <w:r>
        <w:rPr>
          <w:spacing w:val="8"/>
          <w:w w:val="105"/>
        </w:rPr>
        <w:t xml:space="preserve"> </w:t>
      </w:r>
      <w:r>
        <w:rPr>
          <w:w w:val="105"/>
        </w:rPr>
        <w:t>need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initiate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evaluation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problem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file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claim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both types</w:t>
      </w:r>
      <w:r>
        <w:rPr>
          <w:spacing w:val="9"/>
          <w:w w:val="105"/>
        </w:rPr>
        <w:t xml:space="preserve"> </w:t>
      </w:r>
      <w:r>
        <w:rPr>
          <w:w w:val="105"/>
        </w:rPr>
        <w:t>of visits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same</w:t>
      </w:r>
      <w:r>
        <w:rPr>
          <w:spacing w:val="10"/>
          <w:w w:val="105"/>
        </w:rPr>
        <w:t xml:space="preserve"> </w:t>
      </w:r>
      <w:r>
        <w:rPr>
          <w:w w:val="105"/>
        </w:rPr>
        <w:t>day.</w:t>
      </w:r>
    </w:p>
    <w:p w14:paraId="1DC7854B" w14:textId="59369473" w:rsidR="00CF7B23" w:rsidRDefault="00F762BB">
      <w:pPr>
        <w:spacing w:before="152" w:line="312" w:lineRule="auto"/>
        <w:ind w:left="118" w:right="270" w:firstLine="2"/>
        <w:rPr>
          <w:sz w:val="19"/>
        </w:rPr>
      </w:pPr>
      <w:r>
        <w:rPr>
          <w:w w:val="105"/>
          <w:sz w:val="19"/>
        </w:rPr>
        <w:t xml:space="preserve">Coding rules set by the health insurance industry specifically state: </w:t>
      </w:r>
      <w:r>
        <w:rPr>
          <w:rFonts w:ascii="Times New Roman"/>
          <w:i/>
          <w:w w:val="105"/>
          <w:sz w:val="20"/>
        </w:rPr>
        <w:t xml:space="preserve">"if an abnormality is encountered or a pre-existing problem is addressed in the </w:t>
      </w:r>
      <w:r w:rsidR="00FB0C95">
        <w:rPr>
          <w:rFonts w:ascii="Times New Roman"/>
          <w:i/>
          <w:w w:val="105"/>
          <w:sz w:val="20"/>
        </w:rPr>
        <w:t>process of</w:t>
      </w:r>
      <w:r>
        <w:rPr>
          <w:rFonts w:ascii="Times New Roman"/>
          <w:i/>
          <w:w w:val="105"/>
          <w:sz w:val="20"/>
        </w:rPr>
        <w:t xml:space="preserve"> performing this preventative </w:t>
      </w:r>
      <w:r w:rsidR="00FB0C95">
        <w:rPr>
          <w:rFonts w:ascii="Times New Roman"/>
          <w:i/>
          <w:w w:val="105"/>
          <w:sz w:val="20"/>
        </w:rPr>
        <w:t>medicine evaluation service</w:t>
      </w:r>
      <w:r>
        <w:rPr>
          <w:rFonts w:ascii="Times New Roman"/>
          <w:i/>
          <w:w w:val="105"/>
          <w:sz w:val="20"/>
        </w:rPr>
        <w:t xml:space="preserve">, </w:t>
      </w:r>
      <w:r w:rsidR="00FB0C95">
        <w:rPr>
          <w:rFonts w:ascii="Times New Roman"/>
          <w:i/>
          <w:w w:val="105"/>
          <w:sz w:val="20"/>
        </w:rPr>
        <w:t>then the appropriate</w:t>
      </w:r>
      <w:r>
        <w:rPr>
          <w:rFonts w:ascii="Times New Roman"/>
          <w:i/>
          <w:w w:val="105"/>
          <w:sz w:val="20"/>
        </w:rPr>
        <w:t xml:space="preserve"> visit code should also be reported." </w:t>
      </w:r>
      <w:r>
        <w:rPr>
          <w:w w:val="105"/>
          <w:sz w:val="19"/>
        </w:rPr>
        <w:t xml:space="preserve">This is not double billing but is </w:t>
      </w:r>
      <w:r w:rsidR="00C33233">
        <w:rPr>
          <w:w w:val="105"/>
          <w:sz w:val="19"/>
        </w:rPr>
        <w:t>correct</w:t>
      </w:r>
      <w:r>
        <w:rPr>
          <w:w w:val="105"/>
          <w:sz w:val="19"/>
        </w:rPr>
        <w:t xml:space="preserve"> coding procedure. This may also save the patient another trip to the office </w:t>
      </w:r>
      <w:r w:rsidR="00FB0C95">
        <w:rPr>
          <w:w w:val="105"/>
          <w:sz w:val="19"/>
        </w:rPr>
        <w:t>later</w:t>
      </w:r>
      <w:r>
        <w:rPr>
          <w:w w:val="105"/>
          <w:sz w:val="19"/>
        </w:rPr>
        <w:t xml:space="preserve">. Our goal is to address every patient's health concern as </w:t>
      </w:r>
      <w:r w:rsidR="00FB0C95">
        <w:rPr>
          <w:w w:val="105"/>
          <w:sz w:val="19"/>
        </w:rPr>
        <w:t>thoroughly and</w:t>
      </w:r>
      <w:r>
        <w:rPr>
          <w:w w:val="105"/>
          <w:sz w:val="19"/>
        </w:rPr>
        <w:t xml:space="preserve"> efficiently as possible. Sometimes this can be done at the same time as the we</w:t>
      </w:r>
      <w:r w:rsidR="00FB0C95">
        <w:rPr>
          <w:w w:val="105"/>
          <w:sz w:val="19"/>
        </w:rPr>
        <w:t>l</w:t>
      </w:r>
      <w:r>
        <w:rPr>
          <w:w w:val="105"/>
          <w:sz w:val="19"/>
        </w:rPr>
        <w:t xml:space="preserve">l exam, thus eliminating the need for an additional visit. However, insurance companies will still require the same co-pays or apply the same deductibles as would be required for a </w:t>
      </w:r>
      <w:r w:rsidR="00FB0C95">
        <w:rPr>
          <w:w w:val="105"/>
          <w:sz w:val="19"/>
        </w:rPr>
        <w:t>separate visit</w:t>
      </w:r>
      <w:r>
        <w:rPr>
          <w:w w:val="105"/>
          <w:sz w:val="19"/>
        </w:rPr>
        <w:t>. (</w:t>
      </w:r>
      <w:r w:rsidR="00FB0C95">
        <w:rPr>
          <w:w w:val="105"/>
          <w:sz w:val="19"/>
        </w:rPr>
        <w:t>Please keep</w:t>
      </w:r>
      <w:r>
        <w:rPr>
          <w:w w:val="105"/>
          <w:sz w:val="19"/>
        </w:rPr>
        <w:t xml:space="preserve"> in mind some </w:t>
      </w:r>
      <w:r w:rsidR="00FB0C95">
        <w:rPr>
          <w:w w:val="105"/>
          <w:sz w:val="19"/>
        </w:rPr>
        <w:t>conditions may</w:t>
      </w:r>
      <w:r>
        <w:rPr>
          <w:w w:val="105"/>
          <w:sz w:val="19"/>
        </w:rPr>
        <w:t xml:space="preserve"> elicit an </w:t>
      </w:r>
      <w:r w:rsidR="00FB0C95">
        <w:rPr>
          <w:w w:val="105"/>
          <w:sz w:val="19"/>
        </w:rPr>
        <w:t>additional follow</w:t>
      </w:r>
      <w:r>
        <w:rPr>
          <w:w w:val="105"/>
          <w:sz w:val="19"/>
        </w:rPr>
        <w:t>-up to address certain conditions or concerns. Your physician will determine this at the time of the visit if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indicated.)</w:t>
      </w:r>
    </w:p>
    <w:p w14:paraId="0A5159ED" w14:textId="77777777" w:rsidR="00CF7B23" w:rsidRDefault="00CF7B23">
      <w:pPr>
        <w:pStyle w:val="BodyText"/>
        <w:rPr>
          <w:sz w:val="20"/>
        </w:rPr>
      </w:pPr>
    </w:p>
    <w:p w14:paraId="6DF39E1B" w14:textId="77777777" w:rsidR="00CF7B23" w:rsidRDefault="00CF7B23">
      <w:pPr>
        <w:pStyle w:val="BodyText"/>
        <w:rPr>
          <w:sz w:val="20"/>
        </w:rPr>
      </w:pPr>
    </w:p>
    <w:p w14:paraId="78202278" w14:textId="77777777" w:rsidR="00CF7B23" w:rsidRDefault="00CF7B23">
      <w:pPr>
        <w:pStyle w:val="BodyText"/>
        <w:rPr>
          <w:sz w:val="20"/>
        </w:rPr>
      </w:pPr>
    </w:p>
    <w:p w14:paraId="03D741B8" w14:textId="77777777" w:rsidR="00CF7B23" w:rsidRDefault="00CF7B23">
      <w:pPr>
        <w:pStyle w:val="BodyText"/>
        <w:rPr>
          <w:sz w:val="20"/>
        </w:rPr>
      </w:pPr>
    </w:p>
    <w:p w14:paraId="7400E783" w14:textId="77777777" w:rsidR="00CF7B23" w:rsidRDefault="00F762BB">
      <w:pPr>
        <w:pStyle w:val="BodyText"/>
        <w:tabs>
          <w:tab w:val="left" w:pos="8654"/>
        </w:tabs>
        <w:spacing w:before="136"/>
        <w:ind w:left="110"/>
      </w:pPr>
      <w:r>
        <w:rPr>
          <w:w w:val="105"/>
        </w:rPr>
        <w:t>Parent/ Guardian</w:t>
      </w:r>
      <w:r>
        <w:rPr>
          <w:spacing w:val="-11"/>
          <w:w w:val="105"/>
        </w:rPr>
        <w:t xml:space="preserve"> </w:t>
      </w:r>
      <w:r>
        <w:rPr>
          <w:w w:val="105"/>
        </w:rPr>
        <w:t>Signature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E8B38" w14:textId="77777777" w:rsidR="00CF7B23" w:rsidRDefault="00CF7B23">
      <w:pPr>
        <w:pStyle w:val="BodyText"/>
        <w:spacing w:before="11"/>
        <w:rPr>
          <w:sz w:val="9"/>
        </w:rPr>
      </w:pPr>
    </w:p>
    <w:p w14:paraId="65EFBC48" w14:textId="77777777" w:rsidR="00CF7B23" w:rsidRDefault="00F762BB">
      <w:pPr>
        <w:pStyle w:val="BodyText"/>
        <w:tabs>
          <w:tab w:val="left" w:pos="8414"/>
        </w:tabs>
        <w:spacing w:before="94"/>
        <w:ind w:left="115"/>
      </w:pPr>
      <w:r>
        <w:rPr>
          <w:w w:val="115"/>
        </w:rPr>
        <w:t>Date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95"/>
        </w:rPr>
        <w:t>_</w:t>
      </w:r>
    </w:p>
    <w:sectPr w:rsidR="00CF7B23">
      <w:type w:val="continuous"/>
      <w:pgSz w:w="12240" w:h="15840"/>
      <w:pgMar w:top="9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23"/>
    <w:rsid w:val="00C33233"/>
    <w:rsid w:val="00CF7B23"/>
    <w:rsid w:val="00D557B5"/>
    <w:rsid w:val="00F762BB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92A5"/>
  <w15:docId w15:val="{D50BC2BC-4A04-44D2-ACC7-EFBF3A1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 Cormier</dc:creator>
  <cp:lastModifiedBy>Jill</cp:lastModifiedBy>
  <cp:revision>2</cp:revision>
  <cp:lastPrinted>2020-04-09T19:35:00Z</cp:lastPrinted>
  <dcterms:created xsi:type="dcterms:W3CDTF">2020-11-04T13:44:00Z</dcterms:created>
  <dcterms:modified xsi:type="dcterms:W3CDTF">2020-11-04T13:44:00Z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2019-12-20T00:00:00Z</vt:filetime>
  </property>
</Properties>
</file>